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>Развитие культуры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2023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муниципальное казенное учреждение </w:t>
            </w:r>
            <w:r>
              <w:t>"Управление культуры, молодежной политики и муниципального архива" Шарыповского муниципального округа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98,58 %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«Сохранение культурного наследия»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«Поддержка народного творчества»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3.</w:t>
            </w:r>
            <w:r>
              <w:t xml:space="preserve"> «Развитие архивного дела»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4.</w:t>
            </w:r>
            <w:r>
              <w:t xml:space="preserve">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посещений</w:t>
            </w:r>
            <w:r>
              <w:t xml:space="preserve"> библиотек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тыс.чел</w:t>
            </w:r>
            <w:r>
              <w:t>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133,99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133,99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Удельный вес</w:t>
            </w:r>
            <w:r>
              <w:t xml:space="preserve"> населения, участвующих в платных культурно-досуговых мероприятиях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486,50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486,50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 оцифрованных</w:t>
            </w:r>
            <w:r>
              <w:t xml:space="preserve">  заголовков  единиц  хранения,  переведенных  в электронный  формат  программного  комплекса  "Архивный  фонд"  (создание электронных  описей),  в  общем  количестве  единиц  хранения,  хранящихся  в муниципальном архиве округа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Суммарная оценка</w:t>
            </w:r>
            <w:r>
              <w:t xml:space="preserve">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балл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147 759 057,92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145 657 754,81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98,58 %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включенных</w:t>
            </w:r>
            <w:r>
              <w:t xml:space="preserve"> документов в состав Архивного фонда РФ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443,00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443,00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библиотек</w:t>
            </w:r>
            <w:r>
              <w:t>, подключенных к сети Интернет, в общем количестве общедоступных библиотек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архивных</w:t>
            </w:r>
            <w:r>
              <w:t xml:space="preserve"> документов, переведенных в электронную форму, в общем объеме архивных фондов архива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специалистов</w:t>
            </w:r>
            <w:r>
              <w:t>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28,00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28,00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Своевременность утверждения</w:t>
            </w:r>
            <w:r>
              <w:t xml:space="preserve">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дней/откл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Своевременность утверждения</w:t>
            </w:r>
            <w:r>
              <w:t xml:space="preserve">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дней/откл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учреждений</w:t>
            </w:r>
            <w:r>
              <w:t xml:space="preserve"> культуры, имеющих сайт в сети Интернет, в общем количестве учреждений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организованных</w:t>
            </w:r>
            <w:r>
              <w:t xml:space="preserve"> и проведенных культурно-массовых мероприятий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посетителей</w:t>
            </w:r>
            <w:r>
              <w:t xml:space="preserve"> учреждений культурно-досугового типа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тыс.чел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326,04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326,04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Число участников</w:t>
            </w:r>
            <w:r>
              <w:t xml:space="preserve"> клубных формирований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2 373,00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2 373,00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сохраненных</w:t>
            </w:r>
            <w:r>
              <w:t xml:space="preserve"> объектов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граждан</w:t>
            </w:r>
            <w:r>
              <w:t>, 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45,00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45,00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Сохранение культурного наследия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25 324 451,20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25 324 447,20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Доля библиотек, </w:t>
            </w:r>
            <w:r w:rsidRPr="00065F76">
              <w:rPr>
                <w:sz w:val="16"/>
                <w:szCs w:val="16"/>
              </w:rPr>
              <w:t>подключенных к сети Интернет, в общем количестве общедоступных библиотек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сохраненных объектов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Поддержка народного творчества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110 597 653,11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108 554 437,32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граждан, </w:t>
            </w:r>
            <w:r w:rsidRPr="00065F76">
              <w:rPr>
                <w:sz w:val="16"/>
                <w:szCs w:val="16"/>
              </w:rPr>
              <w:t>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организованных и</w:t>
            </w:r>
            <w:r w:rsidRPr="00065F76">
              <w:rPr>
                <w:sz w:val="16"/>
                <w:szCs w:val="16"/>
              </w:rPr>
              <w:t xml:space="preserve"> проведенных культурно-массовых мероприятий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посетителей учреждений</w:t>
            </w:r>
            <w:r w:rsidRPr="00065F76">
              <w:rPr>
                <w:sz w:val="16"/>
                <w:szCs w:val="16"/>
              </w:rPr>
              <w:t xml:space="preserve"> культурно-досугового типа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тыс.чел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326,04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326,04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Число участников клубных</w:t>
            </w:r>
            <w:r w:rsidRPr="00065F76">
              <w:rPr>
                <w:sz w:val="16"/>
                <w:szCs w:val="16"/>
              </w:rPr>
              <w:t xml:space="preserve"> формирований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2 373,00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2 373,00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архивного дела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1 656 993,92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1 653 759,58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архивных документов</w:t>
            </w:r>
            <w:r w:rsidRPr="00065F76">
              <w:rPr>
                <w:sz w:val="16"/>
                <w:szCs w:val="16"/>
              </w:rPr>
              <w:t>, переведенных в электронную форму, в общем объеме архивных фондов архива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включенных документов</w:t>
            </w:r>
            <w:r w:rsidRPr="00065F76">
              <w:rPr>
                <w:sz w:val="16"/>
                <w:szCs w:val="16"/>
              </w:rPr>
              <w:t xml:space="preserve"> в состав Архивного фонда РФ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443,00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443,00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</w:t>
            </w:r>
            <w:r w:rsidRPr="00065F76">
              <w:rPr>
                <w:sz w:val="16"/>
                <w:szCs w:val="16"/>
              </w:rPr>
              <w:t xml:space="preserve">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10 179 959,69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10 125 110,71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специалистов, </w:t>
            </w:r>
            <w:r w:rsidRPr="00065F76">
              <w:rPr>
                <w:sz w:val="16"/>
                <w:szCs w:val="16"/>
              </w:rPr>
              <w:t>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28,00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28,00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</w:t>
            </w:r>
            <w:r w:rsidRPr="00065F76">
              <w:rPr>
                <w:sz w:val="16"/>
                <w:szCs w:val="16"/>
              </w:rPr>
              <w:t xml:space="preserve">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</w:t>
            </w:r>
            <w:r w:rsidRPr="00065F76">
              <w:rPr>
                <w:sz w:val="16"/>
                <w:szCs w:val="16"/>
              </w:rPr>
              <w:t xml:space="preserve">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учреждений культуры</w:t>
            </w:r>
            <w:r w:rsidRPr="00065F76">
              <w:rPr>
                <w:sz w:val="16"/>
                <w:szCs w:val="16"/>
              </w:rPr>
              <w:t>, имеющих сайт в сети Интернет, в общем количестве учреждений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145 657 754,81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