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854"/>
      </w:tblGrid>
      <w:tr w:rsidR="009D603D" w:rsidTr="00545F4B">
        <w:trPr>
          <w:trHeight w:val="419"/>
        </w:trPr>
        <w:tc>
          <w:tcPr>
            <w:tcW w:w="9854" w:type="dxa"/>
          </w:tcPr>
          <w:p w:rsidR="00545F4B" w:rsidRDefault="00545F4B" w:rsidP="00545F4B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8"/>
                <w:szCs w:val="28"/>
              </w:rPr>
              <w:t>Результаты оценки эффективности реализации муниципальной программы</w:t>
            </w:r>
          </w:p>
        </w:tc>
      </w:tr>
      <w:tr w:rsidR="009D603D" w:rsidTr="00545F4B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545F4B" w:rsidRDefault="00545F4B" w:rsidP="00545F4B">
            <w:pPr>
              <w:jc w:val="center"/>
            </w:pPr>
            <w:r w:rsidRPr="004D06D4">
              <w:t>«Развитие образования»</w:t>
            </w:r>
          </w:p>
          <w:p w:rsidR="00545F4B" w:rsidRPr="004D06D4" w:rsidRDefault="00545F4B" w:rsidP="00545F4B">
            <w:pPr>
              <w:jc w:val="center"/>
              <w:rPr>
                <w:sz w:val="20"/>
                <w:szCs w:val="20"/>
              </w:rPr>
            </w:pPr>
            <w:r>
              <w:t>в 2022 году</w:t>
            </w:r>
          </w:p>
        </w:tc>
      </w:tr>
      <w:tr w:rsidR="009D603D" w:rsidTr="00545F4B">
        <w:trPr>
          <w:trHeight w:val="441"/>
        </w:trPr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545F4B" w:rsidRDefault="00545F4B" w:rsidP="00545F4B">
            <w:pPr>
              <w:jc w:val="center"/>
              <w:rPr>
                <w:sz w:val="20"/>
                <w:szCs w:val="20"/>
              </w:rPr>
            </w:pPr>
            <w:r>
              <w:t>«Муниципальное казенное учреждение «Управление образования Шарыповского муниципального округа»»</w:t>
            </w:r>
          </w:p>
        </w:tc>
      </w:tr>
      <w:tr w:rsidR="009D603D" w:rsidTr="00545F4B">
        <w:tc>
          <w:tcPr>
            <w:tcW w:w="9854" w:type="dxa"/>
            <w:tcBorders>
              <w:top w:val="single" w:sz="4" w:space="0" w:color="auto"/>
            </w:tcBorders>
          </w:tcPr>
          <w:p w:rsidR="00545F4B" w:rsidRDefault="00545F4B" w:rsidP="00545F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76625">
              <w:rPr>
                <w:sz w:val="20"/>
                <w:szCs w:val="20"/>
              </w:rPr>
              <w:t>наименование органа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176625">
              <w:rPr>
                <w:sz w:val="20"/>
                <w:szCs w:val="20"/>
              </w:rPr>
              <w:t>в качестве ответственного исполнителя муниципальной программы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545F4B" w:rsidRDefault="00545F4B" w:rsidP="00545F4B"/>
    <w:p w:rsidR="00545F4B" w:rsidRDefault="00545F4B" w:rsidP="00545F4B">
      <w:pPr>
        <w:sectPr w:rsidR="00545F4B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3650"/>
      </w:tblGrid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lastRenderedPageBreak/>
              <w:t>1. Достижение целевых показателей муниципальной программы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Средний уровень достижения целевых показателей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1,01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Фактический уровень финансирования по 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99,51 %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/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2. Достижение показателей результативности муниципальной программы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Кол-во присвоенных баллов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10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/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3. Достижение показателей результативности по подпрограммам муниципальных программ и (или) отдельным мероприятиям муниципальных программ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/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Подпрограмма 1. «Развитие дошкольного, общего и дополнительного образования детей»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>
            <w:r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0,99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545F4B" w:rsidRDefault="0044423D" w:rsidP="00545F4B">
            <w:pPr>
              <w:jc w:val="center"/>
            </w:pPr>
            <w:r>
              <w:t>100,00</w:t>
            </w:r>
            <w:r w:rsidR="00545F4B">
              <w:t xml:space="preserve"> %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/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Подпрограмма 2. «Организация отдыха и оздоровления детей»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bookmarkStart w:id="0" w:name="_GoBack"/>
            <w:bookmarkEnd w:id="0"/>
          </w:p>
        </w:tc>
        <w:tc>
          <w:tcPr>
            <w:tcW w:w="1852" w:type="pct"/>
            <w:vAlign w:val="center"/>
          </w:tcPr>
          <w:p w:rsidR="00545F4B" w:rsidRDefault="00545F4B" w:rsidP="00545F4B">
            <w:r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/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Подпрограмма 3. «Государственная поддержка детей-сирот и детей, оставшихся без попечения родителей»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>
            <w:r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95,00 %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/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Подпрограмма 4. «Обеспечение реализации муниципальной программы»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>
            <w:r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Средний уровень достижения показателей результативности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1,00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Фактический уровень финансирования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100,00 %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Кол-во присвоенных баллов по подпрограмме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/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Кол-во присвоенных баллов по программе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9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  <w:tr w:rsidR="009D603D" w:rsidTr="00545F4B">
        <w:trPr>
          <w:cantSplit/>
        </w:trPr>
        <w:tc>
          <w:tcPr>
            <w:tcW w:w="2285" w:type="pct"/>
            <w:vAlign w:val="center"/>
          </w:tcPr>
          <w:p w:rsidR="00545F4B" w:rsidRDefault="00545F4B" w:rsidP="00545F4B">
            <w:r>
              <w:t>ИТОГО БАЛЛОВ</w:t>
            </w:r>
          </w:p>
        </w:tc>
        <w:tc>
          <w:tcPr>
            <w:tcW w:w="863" w:type="pct"/>
            <w:vAlign w:val="center"/>
          </w:tcPr>
          <w:p w:rsidR="00545F4B" w:rsidRDefault="00545F4B" w:rsidP="00545F4B">
            <w:pPr>
              <w:jc w:val="center"/>
            </w:pPr>
            <w:r>
              <w:t>28</w:t>
            </w:r>
          </w:p>
        </w:tc>
        <w:tc>
          <w:tcPr>
            <w:tcW w:w="1852" w:type="pct"/>
            <w:vAlign w:val="center"/>
          </w:tcPr>
          <w:p w:rsidR="00545F4B" w:rsidRDefault="00545F4B" w:rsidP="00545F4B"/>
        </w:tc>
      </w:tr>
    </w:tbl>
    <w:p w:rsidR="00545F4B" w:rsidRDefault="00545F4B">
      <w:pPr>
        <w:jc w:val="center"/>
        <w:rPr>
          <w:b/>
        </w:rPr>
      </w:pPr>
    </w:p>
    <w:p w:rsidR="00545F4B" w:rsidRDefault="00545F4B">
      <w:pPr>
        <w:jc w:val="center"/>
        <w:rPr>
          <w:b/>
        </w:rPr>
        <w:sectPr w:rsidR="00545F4B">
          <w:type w:val="continuous"/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545F4B" w:rsidRDefault="00545F4B">
      <w:pPr>
        <w:jc w:val="center"/>
        <w:rPr>
          <w:b/>
        </w:rPr>
      </w:pPr>
      <w:r w:rsidRPr="0042783E">
        <w:rPr>
          <w:b/>
        </w:rPr>
        <w:lastRenderedPageBreak/>
        <w:t>Оценка достижения целевых показателей муниципальной программы</w:t>
      </w:r>
    </w:p>
    <w:p w:rsidR="00545F4B" w:rsidRPr="0042783E" w:rsidRDefault="00545F4B">
      <w:pPr>
        <w:jc w:val="center"/>
        <w:rPr>
          <w:b/>
        </w:rPr>
      </w:pPr>
    </w:p>
    <w:tbl>
      <w:tblPr>
        <w:tblpPr w:leftFromText="180" w:rightFromText="180" w:vertAnchor="text" w:horzAnchor="margin" w:tblpY="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203"/>
        <w:gridCol w:w="1417"/>
        <w:gridCol w:w="1843"/>
        <w:gridCol w:w="1701"/>
        <w:gridCol w:w="1546"/>
        <w:gridCol w:w="1502"/>
        <w:gridCol w:w="2105"/>
      </w:tblGrid>
      <w:tr w:rsidR="009D603D" w:rsidTr="00545F4B">
        <w:trPr>
          <w:trHeight w:val="828"/>
        </w:trPr>
        <w:tc>
          <w:tcPr>
            <w:tcW w:w="867" w:type="dxa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4203" w:type="dxa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1417" w:type="dxa"/>
            <w:vAlign w:val="center"/>
          </w:tcPr>
          <w:p w:rsidR="00545F4B" w:rsidRPr="0042783E" w:rsidRDefault="00545F4B" w:rsidP="00545F4B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изм.</w:t>
            </w:r>
          </w:p>
        </w:tc>
        <w:tc>
          <w:tcPr>
            <w:tcW w:w="1843" w:type="dxa"/>
            <w:vAlign w:val="center"/>
          </w:tcPr>
          <w:p w:rsidR="00545F4B" w:rsidRPr="0042783E" w:rsidRDefault="00545F4B" w:rsidP="00545F4B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1701" w:type="dxa"/>
            <w:vAlign w:val="center"/>
          </w:tcPr>
          <w:p w:rsidR="00545F4B" w:rsidRPr="0042783E" w:rsidRDefault="00545F4B" w:rsidP="00545F4B">
            <w:pPr>
              <w:jc w:val="center"/>
              <w:rPr>
                <w:b/>
                <w:lang w:val="en-US"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1546" w:type="dxa"/>
            <w:vAlign w:val="center"/>
          </w:tcPr>
          <w:p w:rsidR="00545F4B" w:rsidRPr="0042783E" w:rsidRDefault="00545F4B" w:rsidP="00545F4B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502" w:type="dxa"/>
            <w:vAlign w:val="center"/>
          </w:tcPr>
          <w:p w:rsidR="00545F4B" w:rsidRPr="0042783E" w:rsidRDefault="00545F4B" w:rsidP="00545F4B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Факт</w:t>
            </w: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  <w:r w:rsidRPr="0042783E">
              <w:rPr>
                <w:b/>
              </w:rPr>
              <w:t>Индекс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фактического</w:t>
            </w:r>
            <w:r w:rsidRPr="0042783E">
              <w:rPr>
                <w:b/>
                <w:lang w:val="en-US"/>
              </w:rPr>
              <w:t xml:space="preserve"> </w:t>
            </w:r>
            <w:r w:rsidRPr="0042783E">
              <w:rPr>
                <w:b/>
              </w:rPr>
              <w:t>достижения</w:t>
            </w:r>
            <w:r w:rsidRPr="0042783E">
              <w:rPr>
                <w:b/>
                <w:lang w:val="en-US"/>
              </w:rPr>
              <w:t xml:space="preserve">, </w:t>
            </w:r>
            <w:r w:rsidRPr="0042783E">
              <w:rPr>
                <w:b/>
              </w:rPr>
              <w:t>Ицп</w:t>
            </w: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1</w:t>
            </w:r>
          </w:p>
        </w:tc>
        <w:tc>
          <w:tcPr>
            <w:tcW w:w="4203" w:type="dxa"/>
            <w:vAlign w:val="center"/>
          </w:tcPr>
          <w:p w:rsidR="00545F4B" w:rsidRDefault="00545F4B" w:rsidP="00545F4B">
            <w:r>
      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Красноярского края)</w:t>
            </w:r>
          </w:p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  <w:r>
              <w:t>68,90</w:t>
            </w: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  <w:r>
              <w:t>68,90</w:t>
            </w: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2</w:t>
            </w:r>
          </w:p>
        </w:tc>
        <w:tc>
          <w:tcPr>
            <w:tcW w:w="4203" w:type="dxa"/>
            <w:vAlign w:val="center"/>
          </w:tcPr>
          <w:p w:rsidR="00545F4B" w:rsidRDefault="00545F4B" w:rsidP="00545F4B">
            <w:r>
              <w:t>Доля выпускников дневных общеобразовательных учреждений муниципальной формы собственности, не получивших аттестат о среднем (полном) образовании, в общей численности выпускников дневных общеобразовательных учреждений муниципальной формы собственности</w:t>
            </w:r>
          </w:p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3</w:t>
            </w:r>
          </w:p>
        </w:tc>
        <w:tc>
          <w:tcPr>
            <w:tcW w:w="4203" w:type="dxa"/>
            <w:vAlign w:val="center"/>
          </w:tcPr>
          <w:p w:rsidR="00545F4B" w:rsidRDefault="00545F4B" w:rsidP="00545F4B">
            <w:r>
              <w:t>Доля детей в возрасте от 5 до 18 лет, охваченных дополнительным образованием</w:t>
            </w:r>
          </w:p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  <w:r>
              <w:t>81,20</w:t>
            </w: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  <w:r>
              <w:t>81,20</w:t>
            </w: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4</w:t>
            </w:r>
          </w:p>
        </w:tc>
        <w:tc>
          <w:tcPr>
            <w:tcW w:w="4203" w:type="dxa"/>
            <w:vAlign w:val="center"/>
          </w:tcPr>
          <w:p w:rsidR="00545F4B" w:rsidRDefault="00545F4B" w:rsidP="00545F4B">
            <w:r>
              <w:t>Доля детей, включенных в различные виды занятости (походы, трудовые отряды старшеклассников, интенсивные школы, экскурсии), от общего количества детей в возрасте от 7 до 17 лет, обучающихся в образовательных организациях</w:t>
            </w:r>
          </w:p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  <w:r>
              <w:t>68,90</w:t>
            </w: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  <w:r>
              <w:t>68,90</w:t>
            </w: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lastRenderedPageBreak/>
              <w:t>5</w:t>
            </w:r>
          </w:p>
        </w:tc>
        <w:tc>
          <w:tcPr>
            <w:tcW w:w="4203" w:type="dxa"/>
            <w:vAlign w:val="center"/>
          </w:tcPr>
          <w:p w:rsidR="00545F4B" w:rsidRDefault="00545F4B" w:rsidP="00545F4B">
            <w:r>
              <w:t>Уровень исполнения субвенции на реализацию переданных полномочий края, не менее</w:t>
            </w:r>
          </w:p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  <w:r>
              <w:t>95,00</w:t>
            </w: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  <w:r>
              <w:t>98,00</w:t>
            </w: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1,03</w:t>
            </w: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  <w:r w:rsidRPr="0042783E">
              <w:rPr>
                <w:lang w:val="en-US"/>
              </w:rPr>
              <w:t>6</w:t>
            </w:r>
          </w:p>
        </w:tc>
        <w:tc>
          <w:tcPr>
            <w:tcW w:w="4203" w:type="dxa"/>
            <w:vAlign w:val="center"/>
          </w:tcPr>
          <w:p w:rsidR="00545F4B" w:rsidRDefault="00545F4B" w:rsidP="00545F4B">
            <w: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1,00</w:t>
            </w: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545F4B" w:rsidRDefault="00545F4B" w:rsidP="00545F4B"/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545F4B" w:rsidRDefault="00545F4B" w:rsidP="00545F4B">
            <w:r>
              <w:t>Средний уровень достижения целевых показателей, Сцп</w:t>
            </w:r>
          </w:p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1,01</w:t>
            </w: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545F4B" w:rsidRDefault="00545F4B" w:rsidP="00545F4B">
            <w:r>
              <w:t>Фактический уровень финансирования по программе:</w:t>
            </w:r>
          </w:p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  <w:r>
              <w:t>636 426 065,38</w:t>
            </w: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  <w:r>
              <w:t>633 310 234,01</w:t>
            </w: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99,51 %</w:t>
            </w:r>
          </w:p>
        </w:tc>
      </w:tr>
      <w:tr w:rsidR="009D603D" w:rsidTr="00545F4B">
        <w:trPr>
          <w:cantSplit/>
          <w:trHeight w:val="828"/>
        </w:trPr>
        <w:tc>
          <w:tcPr>
            <w:tcW w:w="867" w:type="dxa"/>
            <w:vAlign w:val="center"/>
          </w:tcPr>
          <w:p w:rsidR="00545F4B" w:rsidRPr="0042783E" w:rsidRDefault="00545F4B" w:rsidP="00545F4B">
            <w:pPr>
              <w:jc w:val="center"/>
              <w:rPr>
                <w:lang w:val="en-US"/>
              </w:rPr>
            </w:pPr>
          </w:p>
        </w:tc>
        <w:tc>
          <w:tcPr>
            <w:tcW w:w="4203" w:type="dxa"/>
            <w:vAlign w:val="center"/>
          </w:tcPr>
          <w:p w:rsidR="00545F4B" w:rsidRDefault="00545F4B" w:rsidP="00545F4B">
            <w:r>
              <w:t>Баллы:</w:t>
            </w:r>
          </w:p>
        </w:tc>
        <w:tc>
          <w:tcPr>
            <w:tcW w:w="1417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843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701" w:type="dxa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1546" w:type="dxa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1502" w:type="dxa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2105" w:type="dxa"/>
            <w:vAlign w:val="center"/>
          </w:tcPr>
          <w:p w:rsidR="00545F4B" w:rsidRPr="0042783E" w:rsidRDefault="00545F4B" w:rsidP="00545F4B">
            <w:pPr>
              <w:jc w:val="right"/>
              <w:rPr>
                <w:lang w:val="en-US"/>
              </w:rPr>
            </w:pPr>
            <w:r w:rsidRPr="0042783E">
              <w:rPr>
                <w:lang w:val="en-US"/>
              </w:rPr>
              <w:t>9</w:t>
            </w:r>
          </w:p>
        </w:tc>
      </w:tr>
    </w:tbl>
    <w:p w:rsidR="00545F4B" w:rsidRPr="00E50BAE" w:rsidRDefault="00545F4B" w:rsidP="00545F4B">
      <w:pPr>
        <w:jc w:val="center"/>
        <w:rPr>
          <w:b/>
          <w:lang w:val="en-US"/>
        </w:rPr>
        <w:sectPr w:rsidR="00545F4B" w:rsidRPr="00E50BAE" w:rsidSect="00545F4B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545F4B" w:rsidRDefault="00545F4B" w:rsidP="00545F4B">
      <w:pPr>
        <w:jc w:val="center"/>
        <w:rPr>
          <w:b/>
        </w:rPr>
      </w:pPr>
      <w:r w:rsidRPr="00F20BEC">
        <w:rPr>
          <w:b/>
        </w:rPr>
        <w:lastRenderedPageBreak/>
        <w:t>Оценка достижения показателей результативности муниципальной программы</w:t>
      </w:r>
    </w:p>
    <w:p w:rsidR="00545F4B" w:rsidRPr="00F20BEC" w:rsidRDefault="00545F4B" w:rsidP="00545F4B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935"/>
        <w:gridCol w:w="850"/>
        <w:gridCol w:w="1704"/>
        <w:gridCol w:w="1558"/>
        <w:gridCol w:w="1558"/>
        <w:gridCol w:w="1558"/>
        <w:gridCol w:w="1843"/>
        <w:gridCol w:w="850"/>
        <w:gridCol w:w="1610"/>
      </w:tblGrid>
      <w:tr w:rsidR="009D603D" w:rsidTr="00545F4B">
        <w:trPr>
          <w:tblHeader/>
        </w:trPr>
        <w:tc>
          <w:tcPr>
            <w:tcW w:w="236" w:type="pct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 w:rsidRPr="0042783E">
              <w:rPr>
                <w:b/>
              </w:rPr>
              <w:t>№ п/п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 w:rsidRPr="0042783E">
              <w:rPr>
                <w:b/>
              </w:rPr>
              <w:t>Наименование целевых показателей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>
              <w:rPr>
                <w:b/>
              </w:rPr>
              <w:t>Ед</w:t>
            </w:r>
            <w:r w:rsidRPr="0042783E">
              <w:rPr>
                <w:b/>
                <w:lang w:val="en-US"/>
              </w:rPr>
              <w:t xml:space="preserve">. </w:t>
            </w:r>
            <w:r>
              <w:rPr>
                <w:b/>
              </w:rPr>
              <w:t>изм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Тенденция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 w:rsidRPr="0042783E">
              <w:rPr>
                <w:b/>
                <w:lang w:val="en-US"/>
              </w:rPr>
              <w:t>Условие достижения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 w:rsidRPr="00F20BEC">
              <w:rPr>
                <w:b/>
              </w:rPr>
              <w:t>Индекс фактического достижения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  <w:rPr>
                <w:b/>
              </w:rPr>
            </w:pPr>
            <w:r>
              <w:rPr>
                <w:b/>
              </w:rPr>
              <w:t>Вес</w:t>
            </w:r>
          </w:p>
        </w:tc>
        <w:tc>
          <w:tcPr>
            <w:tcW w:w="530" w:type="pct"/>
            <w:vAlign w:val="center"/>
          </w:tcPr>
          <w:p w:rsidR="00545F4B" w:rsidRDefault="00545F4B" w:rsidP="00545F4B">
            <w:pPr>
              <w:jc w:val="center"/>
            </w:pPr>
            <w:r>
              <w:rPr>
                <w:b/>
              </w:rPr>
              <w:t>Уровень достижения показателя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Численность обучающихся общеобразовательных организаций, расположенных в сельской местности и малых городах, осваивающих два и более учебных предмета из числа предметных областей "Естественнонаучные предметы", "Естественные науки", "Математика и информатика", "Обществознание и естествознание", "Технология" и (или) курсы внеурочной деятельности общеинтеллектуальной направленности с использованием средств обучения и воспитания центров "Точка роста"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37,40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37,40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2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23,11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21,19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0,92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3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детей, получивших услугу по организации отдыха детей и их оздоровления, от общего количества детей от 7 до 17 лет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79,55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79,55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4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базовых образовательных учреждений (обеспечивающих совместное обучение инвалидов и лиц, не имеющих нарушений) в общем количестве образовательных учреждений,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95,00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95,00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5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организаций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6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муниципальных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общем количестве муниципальных образовательных организаций,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7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общеобразовательных учреждений (с числом обучающихся более 50), в которых действуют управляющие советы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8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детей-инвалидов, получающих качественное общее образование по месту своего проживания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9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муниципальных образовательных организаций, реализующих программы общего образования, имеющих физкультурный зал, в общем количестве муниципальных образовательных организаций,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87,50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87,50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10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детей с ограниченными возможностями здоровья, обучающихся в общеобразовательных организациях, имеющих лицензию и аккредитованных  по программам специальных (коррекционных) образовательных организаций, от количества детей данной категории, обучающихся в общеобразовательных организациях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11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Удельный вес численности обучающихся, занимающихся в зданиях, требующих капитального ремонта или реконструкции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Снижение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12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Удельный вес численности обучающихся, занимающихся в зданиях, имеющих все виды благоустройства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97,00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97,00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13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14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Доля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27,00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27,00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15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Суммарная оценка показателей качества финансового менеджмента главных распорядителей бюджетных средств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балл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109,00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109,00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16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Своевременность утверждения и размещения муниципального задания на текущий финансовый год и плановый период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дней/откл.</w:t>
            </w:r>
          </w:p>
        </w:tc>
        <w:tc>
          <w:tcPr>
            <w:tcW w:w="561" w:type="pct"/>
            <w:vAlign w:val="center"/>
          </w:tcPr>
          <w:p w:rsidR="00545F4B" w:rsidRDefault="002B6E0F" w:rsidP="00545F4B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17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Своевременность согласования и размещения плана финансово-хозяйственной деятельности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дней/откл.</w:t>
            </w:r>
          </w:p>
        </w:tc>
        <w:tc>
          <w:tcPr>
            <w:tcW w:w="561" w:type="pct"/>
            <w:vAlign w:val="center"/>
          </w:tcPr>
          <w:p w:rsidR="00545F4B" w:rsidRDefault="002B6E0F" w:rsidP="00545F4B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18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Соблюдение сроков предоставления годовой бюджетной отчетности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дней/откл.</w:t>
            </w:r>
          </w:p>
        </w:tc>
        <w:tc>
          <w:tcPr>
            <w:tcW w:w="561" w:type="pct"/>
            <w:vAlign w:val="center"/>
          </w:tcPr>
          <w:p w:rsidR="00545F4B" w:rsidRDefault="002B6E0F" w:rsidP="00545F4B">
            <w:pPr>
              <w:jc w:val="center"/>
            </w:pPr>
            <w:r>
              <w:t>Уменьшение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19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Удельный вес воспитанников дошкольных образовательных организаций, расположенных на территории Шарыповского муниципального округа,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расположенных на территории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100,00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20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Обеспеченность детей дошкольного возраста местами в дошкольных образовательных учреждениях (количество мест на 100 детей)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ед.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78,90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76,50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0,97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0,06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0,06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21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92,89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94,40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1,02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lastRenderedPageBreak/>
              <w:t>22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88,20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87,00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0,99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0,05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0,05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  <w:r w:rsidRPr="00BC0E61">
              <w:rPr>
                <w:lang w:val="en-US"/>
              </w:rPr>
              <w:t>23</w:t>
            </w: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  <w:r>
              <w:t>%</w:t>
            </w: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  <w:r>
              <w:t>Увеличение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  <w:r>
              <w:t>Равно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90,00</w:t>
            </w: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  <w:r>
              <w:t>90,00</w:t>
            </w: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  <w:r>
              <w:t>1,00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  <w:r>
              <w:t>0,04</w:t>
            </w: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0,04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545F4B" w:rsidRDefault="00545F4B" w:rsidP="00545F4B"/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Средний уровень достижения показателей результативности, Срп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236" w:type="pct"/>
            <w:vAlign w:val="center"/>
          </w:tcPr>
          <w:p w:rsidR="00545F4B" w:rsidRPr="00BC0E61" w:rsidRDefault="00545F4B" w:rsidP="00545F4B">
            <w:pPr>
              <w:jc w:val="center"/>
              <w:rPr>
                <w:lang w:val="en-US"/>
              </w:rPr>
            </w:pPr>
          </w:p>
        </w:tc>
        <w:tc>
          <w:tcPr>
            <w:tcW w:w="966" w:type="pct"/>
            <w:vAlign w:val="center"/>
          </w:tcPr>
          <w:p w:rsidR="00545F4B" w:rsidRDefault="00545F4B" w:rsidP="00545F4B">
            <w:r>
              <w:t>Баллы:</w:t>
            </w: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561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center"/>
            </w:pP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513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607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280" w:type="pct"/>
            <w:vAlign w:val="center"/>
          </w:tcPr>
          <w:p w:rsidR="00545F4B" w:rsidRDefault="00545F4B" w:rsidP="00545F4B">
            <w:pPr>
              <w:jc w:val="right"/>
            </w:pPr>
          </w:p>
        </w:tc>
        <w:tc>
          <w:tcPr>
            <w:tcW w:w="530" w:type="pct"/>
            <w:vAlign w:val="center"/>
          </w:tcPr>
          <w:p w:rsidR="00545F4B" w:rsidRPr="00BC0E61" w:rsidRDefault="00545F4B" w:rsidP="00545F4B">
            <w:pPr>
              <w:jc w:val="right"/>
              <w:rPr>
                <w:lang w:val="en-US"/>
              </w:rPr>
            </w:pPr>
            <w:r w:rsidRPr="00BC0E61">
              <w:rPr>
                <w:lang w:val="en-US"/>
              </w:rPr>
              <w:t>10</w:t>
            </w:r>
          </w:p>
        </w:tc>
      </w:tr>
    </w:tbl>
    <w:p w:rsidR="00545F4B" w:rsidRDefault="00545F4B" w:rsidP="00545F4B">
      <w:pPr>
        <w:jc w:val="center"/>
        <w:rPr>
          <w:b/>
          <w:lang w:val="en-US"/>
        </w:rPr>
        <w:sectPr w:rsidR="00545F4B" w:rsidSect="00545F4B">
          <w:pgSz w:w="16838" w:h="11906" w:orient="landscape"/>
          <w:pgMar w:top="1134" w:right="1020" w:bottom="1134" w:left="850" w:header="708" w:footer="708" w:gutter="0"/>
          <w:cols w:space="708"/>
          <w:docGrid w:linePitch="360"/>
        </w:sectPr>
      </w:pPr>
    </w:p>
    <w:p w:rsidR="00545F4B" w:rsidRDefault="00545F4B" w:rsidP="00545F4B">
      <w:pPr>
        <w:jc w:val="center"/>
        <w:rPr>
          <w:b/>
        </w:rPr>
      </w:pPr>
      <w:r w:rsidRPr="00463F68">
        <w:rPr>
          <w:b/>
        </w:rPr>
        <w:lastRenderedPageBreak/>
        <w:t>Оценка достижения показателей результативности по подпрограммам и отдельным мероприятиям муниципальной программы</w:t>
      </w:r>
    </w:p>
    <w:p w:rsidR="00545F4B" w:rsidRPr="00463F68" w:rsidRDefault="00545F4B" w:rsidP="00545F4B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2193"/>
        <w:gridCol w:w="1169"/>
        <w:gridCol w:w="1133"/>
        <w:gridCol w:w="711"/>
        <w:gridCol w:w="1561"/>
        <w:gridCol w:w="708"/>
        <w:gridCol w:w="2411"/>
        <w:gridCol w:w="850"/>
        <w:gridCol w:w="1133"/>
        <w:gridCol w:w="993"/>
        <w:gridCol w:w="1181"/>
      </w:tblGrid>
      <w:tr w:rsidR="009D603D" w:rsidTr="00545F4B">
        <w:trPr>
          <w:tblHeader/>
        </w:trPr>
        <w:tc>
          <w:tcPr>
            <w:tcW w:w="376" w:type="pct"/>
            <w:vMerge w:val="restar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722" w:type="pct"/>
            <w:vMerge w:val="restar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992" w:type="pct"/>
            <w:gridSpan w:val="3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Финансирование, руб.</w:t>
            </w:r>
          </w:p>
        </w:tc>
        <w:tc>
          <w:tcPr>
            <w:tcW w:w="514" w:type="pct"/>
            <w:vMerge w:val="restart"/>
            <w:vAlign w:val="center"/>
          </w:tcPr>
          <w:p w:rsidR="00545F4B" w:rsidRPr="004D33CC" w:rsidRDefault="00545F4B" w:rsidP="00545F4B">
            <w:pPr>
              <w:jc w:val="center"/>
              <w:rPr>
                <w:b/>
                <w:sz w:val="14"/>
                <w:szCs w:val="14"/>
              </w:rPr>
            </w:pPr>
            <w:r w:rsidRPr="004D33CC">
              <w:rPr>
                <w:b/>
                <w:sz w:val="14"/>
                <w:szCs w:val="14"/>
              </w:rPr>
              <w:t xml:space="preserve">Средний уровень достижения показателей результативности, Спрn </w:t>
            </w:r>
          </w:p>
        </w:tc>
        <w:tc>
          <w:tcPr>
            <w:tcW w:w="233" w:type="pct"/>
            <w:vMerge w:val="restar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Баллы</w:t>
            </w:r>
          </w:p>
        </w:tc>
        <w:tc>
          <w:tcPr>
            <w:tcW w:w="2163" w:type="pct"/>
            <w:gridSpan w:val="5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Показатель</w:t>
            </w:r>
          </w:p>
        </w:tc>
      </w:tr>
      <w:tr w:rsidR="009D603D" w:rsidTr="00545F4B">
        <w:trPr>
          <w:tblHeader/>
        </w:trPr>
        <w:tc>
          <w:tcPr>
            <w:tcW w:w="376" w:type="pct"/>
            <w:vMerge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2" w:type="pct"/>
            <w:vMerge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Факт/План</w:t>
            </w:r>
          </w:p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4" w:type="pct"/>
            <w:vMerge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3" w:type="pct"/>
            <w:vMerge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</w:rPr>
            </w:pPr>
            <w:r w:rsidRPr="00065F76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Ед</w:t>
            </w:r>
            <w:r w:rsidRPr="00065F76">
              <w:rPr>
                <w:b/>
                <w:sz w:val="16"/>
                <w:szCs w:val="16"/>
                <w:lang w:val="en-US"/>
              </w:rPr>
              <w:t xml:space="preserve">. </w:t>
            </w:r>
            <w:r w:rsidRPr="00065F76">
              <w:rPr>
                <w:b/>
                <w:sz w:val="16"/>
                <w:szCs w:val="16"/>
              </w:rPr>
              <w:t>изм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65F76">
              <w:rPr>
                <w:b/>
                <w:sz w:val="16"/>
                <w:szCs w:val="16"/>
              </w:rPr>
              <w:t>Факт</w:t>
            </w:r>
          </w:p>
        </w:tc>
        <w:tc>
          <w:tcPr>
            <w:tcW w:w="389" w:type="pct"/>
            <w:vAlign w:val="center"/>
          </w:tcPr>
          <w:p w:rsidR="00545F4B" w:rsidRPr="004D33CC" w:rsidRDefault="00545F4B" w:rsidP="00545F4B">
            <w:pPr>
              <w:jc w:val="center"/>
              <w:rPr>
                <w:sz w:val="14"/>
                <w:szCs w:val="14"/>
                <w:lang w:val="en-US"/>
              </w:rPr>
            </w:pPr>
            <w:r w:rsidRPr="004D33CC">
              <w:rPr>
                <w:b/>
                <w:sz w:val="14"/>
                <w:szCs w:val="14"/>
              </w:rPr>
              <w:t>Индекс фактического достижения</w:t>
            </w:r>
            <w:r w:rsidRPr="004D33CC">
              <w:rPr>
                <w:sz w:val="14"/>
                <w:szCs w:val="14"/>
                <w:lang w:val="en-US"/>
              </w:rPr>
              <w:t xml:space="preserve"> 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1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573 632 908,96</w:t>
            </w:r>
          </w:p>
        </w:tc>
        <w:tc>
          <w:tcPr>
            <w:tcW w:w="373" w:type="pct"/>
            <w:vAlign w:val="center"/>
          </w:tcPr>
          <w:p w:rsidR="00545F4B" w:rsidRPr="00065F76" w:rsidRDefault="002B6E0F" w:rsidP="00545F4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571 066 080,93</w:t>
            </w:r>
          </w:p>
        </w:tc>
        <w:tc>
          <w:tcPr>
            <w:tcW w:w="234" w:type="pct"/>
            <w:vAlign w:val="center"/>
          </w:tcPr>
          <w:p w:rsidR="00545F4B" w:rsidRPr="00065F76" w:rsidRDefault="0044423D" w:rsidP="00545F4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  <w:r w:rsidR="00545F4B" w:rsidRPr="00065F76">
              <w:rPr>
                <w:sz w:val="16"/>
                <w:szCs w:val="16"/>
              </w:rPr>
              <w:t xml:space="preserve"> %</w:t>
            </w: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0,99</w:t>
            </w: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вес воспитанников дошкольных образовательных организаций, расположенных на территории Шарыповского муниципального округа,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расположенных на территории Шарыповского муниципального округа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Численность обучающихся общеобразовательных организаций, расположенных в сельской местности и малых городах, осваивающих два и более учебных предмета из числа предметных областей "Естественнонаучные предметы", "Естественные науки", "Математика и информатика", "Обществознание и естествознание", "Технология" и (или) курсы внеурочной деятельности общеинтеллектуальной направленности с использованием средств обучения и воспитания центров "Точка роста"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37,40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37,40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базовых образовательных учреждений (обеспечивающих совместное обучение инвалидов и лиц, не имеющих нарушений) в общем количестве образовательных учреждений,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23,11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21,19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0,92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Обеспеченность детей дошкольного возраста местами в дошкольных образовательных учреждениях (количество мест на 100 детей)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ед.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78,90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76,50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0,97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организаций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92,89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94,40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1,02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муниципальных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общем количестве муниципальных образовательных организаций,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общеобразовательных учреждений (с числом обучающихся более 50), в которых действуют управляющие советы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88,20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87,00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0,99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детей-инвалидов, получающих качественное общее образование по месту своего проживания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муниципальных образовательных организаций, реализующих программы общего образования, имеющих физкультурный зал, в общем количестве муниципальных образовательных организаций, реализующих программы общего образования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87,50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87,50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 с ограниченными возможностями здоровья, обучающихся в общеобразовательных организациях, имеющих лицензию и аккредитованных  по программам специальных (коррекционных) образовательных организаций, от количества детей данной категории, обучающихся в общеобразовательных организациях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вес численности обучающихся, занимающихся в зданиях, требующих капитального ремонта или реконструкции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E93A36" w:rsidRDefault="00E93A36" w:rsidP="00545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Удельный вес численности обучающихся, занимающихся в зданиях, имеющих все виды благоустройства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97,00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2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33 275 069,25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33 295 296,30</w:t>
            </w: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100,00 %</w:t>
            </w: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детей, получивших услугу по организации отдыха детей и их оздоровления, от общего количества детей от 7 до 17 лет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79,55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79,55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3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Государственная поддержка детей-сирот и детей, оставшихся без попечения родителей</w:t>
            </w: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9 646 260,88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9 130 161,76</w:t>
            </w: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95,00 %</w:t>
            </w: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Доля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%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27,00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27,00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пМП 4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Обеспечение реализации муниципальной программы</w:t>
            </w: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19 871 826,29</w:t>
            </w:r>
          </w:p>
        </w:tc>
        <w:tc>
          <w:tcPr>
            <w:tcW w:w="373" w:type="pct"/>
            <w:vAlign w:val="center"/>
          </w:tcPr>
          <w:p w:rsidR="00545F4B" w:rsidRPr="00065F76" w:rsidRDefault="00E93A36" w:rsidP="00545F4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19 818 695,02</w:t>
            </w:r>
          </w:p>
        </w:tc>
        <w:tc>
          <w:tcPr>
            <w:tcW w:w="234" w:type="pct"/>
            <w:vAlign w:val="center"/>
          </w:tcPr>
          <w:p w:rsidR="00545F4B" w:rsidRPr="00065F76" w:rsidRDefault="0044423D" w:rsidP="00545F4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  <w:r w:rsidR="00545F4B" w:rsidRPr="00065F76">
              <w:rPr>
                <w:sz w:val="16"/>
                <w:szCs w:val="16"/>
              </w:rPr>
              <w:t xml:space="preserve"> %</w:t>
            </w: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1,00</w:t>
            </w: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Суммарная оценка показателей качества финансового менеджмента главных распорядителей бюджетных средств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балл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109,00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109,00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утверждения и размещения муниципального задания на текущий финансовый год и плановый период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дней/откл.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Своевременность согласования и размещения плана финансово-хозяйственной деятельности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дней/откл.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Соблюдение сроков предоставления годовой бюджетной отчетности</w:t>
            </w: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дней/откл.</w:t>
            </w: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0,00</w:t>
            </w: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1,00</w:t>
            </w: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Средний уровень достижения показателей результативности по подпрограммам и отдельным мероприятиям муниципальной программы, Спрs</w:t>
            </w: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9</w:t>
            </w: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9D603D" w:rsidTr="00545F4B">
        <w:trPr>
          <w:cantSplit/>
        </w:trPr>
        <w:tc>
          <w:tcPr>
            <w:tcW w:w="376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  <w:lang w:val="en-US"/>
              </w:rPr>
            </w:pPr>
            <w:r w:rsidRPr="00065F76">
              <w:rPr>
                <w:sz w:val="16"/>
                <w:szCs w:val="16"/>
                <w:lang w:val="en-US"/>
              </w:rPr>
              <w:t>Программа</w:t>
            </w:r>
          </w:p>
        </w:tc>
        <w:tc>
          <w:tcPr>
            <w:tcW w:w="722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Фактическое финансирование муниципальной программы, руб.</w:t>
            </w:r>
          </w:p>
        </w:tc>
        <w:tc>
          <w:tcPr>
            <w:tcW w:w="385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  <w:r w:rsidRPr="00065F76">
              <w:rPr>
                <w:sz w:val="16"/>
                <w:szCs w:val="16"/>
              </w:rPr>
              <w:t>633 310 234,01</w:t>
            </w:r>
          </w:p>
        </w:tc>
        <w:tc>
          <w:tcPr>
            <w:tcW w:w="514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545F4B" w:rsidRPr="00065F76" w:rsidRDefault="00545F4B" w:rsidP="00545F4B">
            <w:pPr>
              <w:rPr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:rsidR="00545F4B" w:rsidRPr="00065F76" w:rsidRDefault="00545F4B" w:rsidP="00545F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27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9" w:type="pct"/>
            <w:vAlign w:val="center"/>
          </w:tcPr>
          <w:p w:rsidR="00545F4B" w:rsidRPr="00065F76" w:rsidRDefault="00545F4B" w:rsidP="00545F4B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</w:tbl>
    <w:p w:rsidR="00545F4B" w:rsidRPr="00463F68" w:rsidRDefault="00545F4B">
      <w:pPr>
        <w:jc w:val="center"/>
        <w:rPr>
          <w:b/>
          <w:lang w:val="en-US"/>
        </w:rPr>
      </w:pPr>
    </w:p>
    <w:p w:rsidR="00545F4B" w:rsidRPr="00463F68" w:rsidRDefault="00545F4B">
      <w:pPr>
        <w:jc w:val="center"/>
        <w:rPr>
          <w:b/>
          <w:lang w:val="en-US"/>
        </w:rPr>
      </w:pPr>
    </w:p>
    <w:sectPr w:rsidR="00545F4B" w:rsidRPr="00463F68" w:rsidSect="00545F4B">
      <w:pgSz w:w="16838" w:h="11906" w:orient="landscape"/>
      <w:pgMar w:top="1134" w:right="102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3D"/>
    <w:rsid w:val="002B6E0F"/>
    <w:rsid w:val="0044423D"/>
    <w:rsid w:val="00545F4B"/>
    <w:rsid w:val="009D603D"/>
    <w:rsid w:val="00E9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0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2395</Words>
  <Characters>13653</Characters>
  <Application>Microsoft Office Word</Application>
  <DocSecurity>0</DocSecurity>
  <Lines>113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kom7</dc:creator>
  <cp:lastModifiedBy>user</cp:lastModifiedBy>
  <cp:revision>2</cp:revision>
  <dcterms:created xsi:type="dcterms:W3CDTF">2023-04-06T01:41:00Z</dcterms:created>
  <dcterms:modified xsi:type="dcterms:W3CDTF">2023-04-06T01:41:00Z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">
    <vt:lpwstr/>
  </property>
  <property fmtid="{D5CDD505-2E9C-101B-9397-08002B2CF9AE}" pid="3" name="ColibriTemplateKind">
    <vt:lpwstr>Form</vt:lpwstr>
  </property>
</Properties>
</file>