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>Развитие транспортной системы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2022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Администрация Шарыповского муниципального </w:t>
            </w:r>
            <w:r>
              <w:t>округа Красноярского края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0,96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98,15 %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1,31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3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«Дороги Шарыповского муниципального округа и повышение безопасности дорожного движения»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1,63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97,00 %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2.</w:t>
            </w:r>
            <w:r>
              <w:t xml:space="preserve"> «Транспортное обслуживание населения Шарыповского муниципального округа»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3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15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перевезенных</w:t>
            </w:r>
            <w:r>
              <w:t xml:space="preserve"> пассажиров по субсидируемым перевозкам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тыс.пасс</w:t>
            </w:r>
            <w:r>
              <w:t>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235,70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210,50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0,89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Протяженность автомобильных</w:t>
            </w:r>
            <w:r>
              <w:t xml:space="preserve"> дорог общего пользования местного значения, отвечающих нормативным требованиям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км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234,18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229,75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0,98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Количество человек</w:t>
            </w:r>
            <w:r>
              <w:t>, погибших в ДТП на 100 тыс населения, не более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чел.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Снижение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5,00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5,00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0,96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112 810 314,98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110 721 658,01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98,15 %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дорожно-транспортных</w:t>
            </w:r>
            <w:r>
              <w:t xml:space="preserve"> происшествий на территории Шарыповского муниципального округа, не более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30,00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24,00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1,25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0,31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Доля протяженности</w:t>
            </w:r>
            <w:r>
              <w:t xml:space="preserve"> улично-дорожной сети, в отношении которой произведен ремонт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2,00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0,50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Транспортная подвижность</w:t>
            </w:r>
            <w:r>
              <w:t xml:space="preserve"> населения (количество поездок/количество жителей)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поездок/чел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16,70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15,40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0,92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0,23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Пробег с</w:t>
            </w:r>
            <w:r>
              <w:t xml:space="preserve"> пассажирами по субсидируемым маршрутам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тыс.км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586,20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628,40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1,07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0,27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1,31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Дороги Шарыповского муниципального</w:t>
            </w:r>
            <w:r w:rsidRPr="00065F76">
              <w:rPr>
                <w:sz w:val="16"/>
                <w:szCs w:val="16"/>
              </w:rPr>
              <w:t xml:space="preserve"> округа и повышение безопасности дорожного движения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80 305 343,68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78 234 668,59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1,63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дорожно-транспортных происшествий</w:t>
            </w:r>
            <w:r w:rsidRPr="00065F76">
              <w:rPr>
                <w:sz w:val="16"/>
                <w:szCs w:val="16"/>
              </w:rPr>
              <w:t xml:space="preserve"> на территории Шарыповского муниципального округа, не более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30,00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24,00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1,25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протяженности улично-дорожной</w:t>
            </w:r>
            <w:r w:rsidRPr="00065F76">
              <w:rPr>
                <w:sz w:val="16"/>
                <w:szCs w:val="16"/>
              </w:rPr>
              <w:t xml:space="preserve"> сети, в отношении которой произведен ремонт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Транспортное обслуживание населения</w:t>
            </w:r>
            <w:r w:rsidRPr="00065F76">
              <w:rPr>
                <w:sz w:val="16"/>
                <w:szCs w:val="16"/>
              </w:rPr>
              <w:t xml:space="preserve"> Шарыповского муниципального округа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32 504 971,30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32 486 989,42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Транспортная подвижность населения</w:t>
            </w:r>
            <w:r w:rsidRPr="00065F76">
              <w:rPr>
                <w:sz w:val="16"/>
                <w:szCs w:val="16"/>
              </w:rPr>
              <w:t xml:space="preserve"> (количество поездок/количество жителей)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поездок/чел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16,70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15,40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0,92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Пробег с пассажирами</w:t>
            </w:r>
            <w:r w:rsidRPr="00065F76">
              <w:rPr>
                <w:sz w:val="16"/>
                <w:szCs w:val="16"/>
              </w:rPr>
              <w:t xml:space="preserve"> по субсидируемым маршрутам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тыс.км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586,20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628,40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1,07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110 721 658,01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